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3C745">
      <w:pPr>
        <w:ind w:firstLine="567"/>
        <w:rPr>
          <w:rFonts w:cs="Times New Roman"/>
          <w:b/>
          <w:color w:val="000000" w:themeColor="text1"/>
          <w:szCs w:val="30"/>
          <w:lang w:val="en-US"/>
          <w14:textFill>
            <w14:solidFill>
              <w14:schemeClr w14:val="tx1"/>
            </w14:solidFill>
          </w14:textFill>
        </w:rPr>
      </w:pPr>
    </w:p>
    <w:p w14:paraId="5B0D6F99">
      <w:pPr>
        <w:ind w:firstLine="567"/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>О восстановлении и развитии территорий Гомельской области, пострадавших от катастрофы на Чернобыльской АЭС</w:t>
      </w:r>
    </w:p>
    <w:p w14:paraId="3B1DE805">
      <w:pPr>
        <w:ind w:firstLine="567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</w:p>
    <w:p w14:paraId="48C02C6D">
      <w:pPr>
        <w:pStyle w:val="21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В 2026 году исполнилось ровно 40 лет с момента аварии на Чернобыльской АЭС, последствия от которой навсегда изменили судьбы миллионов людей и ландшафт Республики Беларусь. На протяжении этих десятилетий огромные усилия страны были направлены на минимизацию последствий аварии, реабилитацию территорий и поддержку населения. Были реализованы масштабные программы по социальной защите, медицинскому обеспечению и экологической реабилитации.</w:t>
      </w:r>
    </w:p>
    <w:p w14:paraId="0CECCE23">
      <w:pPr>
        <w:pStyle w:val="21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Несмотря на то, что определённая часть территории Беларуси, возможно, никогда не будет пригодна для жизни, фокус большинства пострадавших районов уже сместился с ликвидации последствий аварии на создание условий для устойчивого экономического роста и повышения качества жизни.</w:t>
      </w:r>
    </w:p>
    <w:p w14:paraId="69A97627">
      <w:pPr>
        <w:ind w:firstLine="567"/>
        <w:jc w:val="both"/>
        <w:rPr>
          <w:rFonts w:cs="Times New Roman"/>
          <w:color w:val="000000" w:themeColor="text1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Выработка и реализация государственной политики в области преодоления последствий чернобыльской аварии осуществляется под руководством и при непосредственном участии Президента Республики Беларусь А.Г.Лукашенко. В Беларуси действует система контроля за реализацией мероприятий по преодолению последствий аварии. Она включает периодические рабочие поездки руководства страны, членов Правительства в загрязненные радионуклидами регионы страны и рассмотрение на месте проблем социальной защиты пострадавшего населения, разработку конкретных мероприятий по реализации поручений Президента.</w:t>
      </w:r>
    </w:p>
    <w:p w14:paraId="3E267A2A">
      <w:pPr>
        <w:pStyle w:val="1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Заслушивая 25 апреля 2025 года доклад о восстановлении и развитии районов Гомельской области Глава государства отметил: «Я это хорошо помню. Будучи еще депутатом, я выезжал в эти районы, интересовался, что там происходило. Десять лет неразберихи. Кого-то отселяли. Потом мы опомнились, взялись за голову и поняли, что для белорусов другой земли не будет и другой страны тоже не будет. Надо думать, как жить в Беларуси».</w:t>
      </w:r>
    </w:p>
    <w:p w14:paraId="306DA6C5">
      <w:pPr>
        <w:pStyle w:val="1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И теперь на этих землях снова есть жизнь. Здесь собирают мед, занимаются деревообработкой и сельским хозяйством. Вся продукция чистая, идет даже на экспорт. Благодаря работе ученых и госпрограммам удалось вернуть в сельхозоборот 18 тысяч гектаров земли и полмиллиона гектаров леса.</w:t>
      </w:r>
    </w:p>
    <w:p w14:paraId="367B128F">
      <w:pPr>
        <w:ind w:firstLine="567"/>
        <w:jc w:val="both"/>
        <w:rPr>
          <w:rFonts w:cs="Times New Roman"/>
          <w:color w:val="000000" w:themeColor="text1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 xml:space="preserve">Усилиями ученых, специалистов, законодателей, органов государственного управления ряд важнейших проблем удалось решить. </w:t>
      </w:r>
    </w:p>
    <w:p w14:paraId="0E9D8065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В соответствии с действующим законодательством отнесение населенных пунктов к зонам радиоактивного загрязнения устанавливается </w:t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в зависимости от изменения радиационной обстановки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и пересматривается </w:t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не реже</w:t>
      </w: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1 раза в 5 лет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Советом Министров Республики Беларусь по представлению Министерства по чрезвычайным ситуациям Республики Беларусь. Эту работу совместно с заинтересованными проводит Департамент по ядерной и радиационной безопасности (Госатомнадзор).</w:t>
      </w:r>
    </w:p>
    <w:p w14:paraId="3BD5AB2A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Согласно Закону «О правовом режиме территорий, подвергшихся радиоактивному загрязнению в результате катастрофы на Чернобыльской АЭС» установлены критерии определения территории радиоактивного загрязнения:</w:t>
      </w:r>
    </w:p>
    <w:p w14:paraId="5FF8EA81">
      <w:pPr>
        <w:ind w:firstLine="567"/>
        <w:jc w:val="both"/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- плотность загрязнения почв радионуклидами; </w:t>
      </w:r>
    </w:p>
    <w:p w14:paraId="176327C8">
      <w:pPr>
        <w:ind w:firstLine="567"/>
        <w:jc w:val="both"/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>- величина средней годовой эффективной дозы облучения населения;</w:t>
      </w:r>
    </w:p>
    <w:p w14:paraId="20A51283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>- возможность производства продукции, содержание радионуклидов в которой не превышает республиканских допустимых уровней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.</w:t>
      </w:r>
    </w:p>
    <w:p w14:paraId="35B64FD0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Определение плотности загрязнения почв радионуклидами для отнесения населенных пунктов и объектов к зонам радиоактивного загрязнения осуществляется Министерством природных ресурсов и охраны окружающей среды Республики Беларусь 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( ГУ «Республиканский центр по гидрометеорологии, контролю радиоактивного загрязнения и мониторингу окружающей среды»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Белгидромет)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.</w:t>
      </w:r>
    </w:p>
    <w:p w14:paraId="1F8B6D5C">
      <w:pPr>
        <w:ind w:firstLine="567"/>
        <w:jc w:val="both"/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Определение средних годовых эффективных доз облучения населения – Министерством здравоохранения Республики Беларусь 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(Государственным учреждением</w:t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Республиканский научно-практический центр радиационной медицины и экологии человека»).</w:t>
      </w:r>
    </w:p>
    <w:p w14:paraId="3042C175">
      <w:pPr>
        <w:spacing w:line="280" w:lineRule="exact"/>
        <w:ind w:firstLine="567"/>
        <w:jc w:val="both"/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Справочно: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период полураспада </w:t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цезия-137 – 30 лет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стронция-90 – 29 лет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, а это означает, что по истечении указанных лет распадается половина исходных ядер указанных изотопов. Уменьшение плотности загрязнения почв цезием-137 и стронцием-90 позволило пересмотреть зоны радиоактивного загрязнения ряда населенных пунктов. </w:t>
      </w:r>
    </w:p>
    <w:p w14:paraId="668FE43B">
      <w:pPr>
        <w:ind w:firstLine="567"/>
        <w:jc w:val="both"/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Постановления Правительства о зонировании принимались </w:t>
      </w: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t>8 раз</w:t>
      </w:r>
      <w:r>
        <w:rPr>
          <w:rFonts w:cs="Times New Roman"/>
          <w:b/>
          <w:color w:val="000000" w:themeColor="text1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(в 1992, 1996, 2002, 2004, 2010, 2016, 2021, 2026 годах).</w:t>
      </w:r>
    </w:p>
    <w:p w14:paraId="2A39236E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Из зоны радиоактивного загрязнения выходили такие крупные населенные пункты как:</w:t>
      </w:r>
    </w:p>
    <w:p w14:paraId="667091F2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г.Светлогорск, г.Житковичи – в 1996 году;</w:t>
      </w:r>
    </w:p>
    <w:p w14:paraId="360B1139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г.Калинковичи – в 2002 году;</w:t>
      </w:r>
    </w:p>
    <w:p w14:paraId="7507DC5D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г.Жлобин, г.Рогачев – в 2005 году;</w:t>
      </w:r>
    </w:p>
    <w:p w14:paraId="4F806791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г.Мозырь – в 2010 году;</w:t>
      </w:r>
    </w:p>
    <w:p w14:paraId="3E623733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г.Речица – в 2021 году;</w:t>
      </w:r>
    </w:p>
    <w:p w14:paraId="7A1FFBDA">
      <w:pPr>
        <w:ind w:firstLine="567"/>
        <w:jc w:val="both"/>
        <w:rPr>
          <w:rFonts w:cs="Times New Roman"/>
          <w:szCs w:val="30"/>
        </w:rPr>
      </w:pPr>
      <w:r>
        <w:rPr>
          <w:rFonts w:cs="Times New Roman"/>
          <w:szCs w:val="30"/>
        </w:rPr>
        <w:t>3 августа 2026г. подписано постановление Совета Министров Республики Беларусь № 389 (вступает в силу 1.01.2027г.), которым утвержден новый Перечень населенных пунктов и объектов, находящихся в зонах радиоактивного загрязнения.</w:t>
      </w:r>
      <w:r>
        <w:rPr>
          <w:szCs w:val="30"/>
        </w:rPr>
        <w:t xml:space="preserve"> По сравнению с предыдущим в данный перечень не вошли 177 населенных пунктов, в т.ч. г.Гомель, Лельчицы и др. </w:t>
      </w:r>
    </w:p>
    <w:p w14:paraId="0AD078F6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Постановлением № 389 к зонам радиоактивного загрязнения в Гомельской области отнесены 1 028 населенных пунктов. </w:t>
      </w:r>
    </w:p>
    <w:p w14:paraId="433E70BC">
      <w:pPr>
        <w:ind w:firstLine="567"/>
        <w:jc w:val="both"/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0"/>
          <w14:textFill>
            <w14:solidFill>
              <w14:schemeClr w14:val="tx1"/>
            </w14:solidFill>
          </w14:textFill>
        </w:rPr>
        <w:t>Жители этих населённых пунктов, после вступления в силу данного постановления продолжат пользоваться льготами, установленными статьёй 23 Закона «О социальной защите граждан, пострадавших от катастрофы на Чернобыльской АЭС, других радиационных аварий».</w:t>
      </w:r>
    </w:p>
    <w:p w14:paraId="7E681C63">
      <w:pPr>
        <w:spacing w:line="280" w:lineRule="exact"/>
        <w:ind w:firstLine="567"/>
        <w:jc w:val="both"/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>Справочно:</w:t>
      </w:r>
      <w:r>
        <w:rPr>
          <w:rFonts w:cs="Times New Roman"/>
          <w:i/>
          <w:color w:val="000000" w:themeColor="text1"/>
          <w:szCs w:val="30"/>
          <w14:textFill>
            <w14:solidFill>
              <w14:schemeClr w14:val="tx1"/>
            </w14:solidFill>
          </w14:textFill>
        </w:rPr>
        <w:t xml:space="preserve"> граждане, постоянно проживающие на территории зоны с периодическим радиационным контролем, имеют право на:</w:t>
      </w:r>
    </w:p>
    <w:p w14:paraId="34FE4890">
      <w:pPr>
        <w:pStyle w:val="14"/>
        <w:spacing w:before="0" w:beforeAutospacing="0" w:after="0" w:afterAutospacing="0" w:line="280" w:lineRule="exact"/>
        <w:ind w:left="567"/>
        <w:jc w:val="both"/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отпуск по беременности и родам женщинам с 27 недель беременности (тогда как, скажем, жительницы Минска или Витебска –  с 30 недель).</w:t>
      </w:r>
    </w:p>
    <w:p w14:paraId="00EC339B">
      <w:pPr>
        <w:pStyle w:val="14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- преимущественное право на зачисление в ВУЗы, ССУЗы и ПТУ с обеспечением иногородних обучающихся жилыми помещениями в общежитиях на период обучения и т.д. </w:t>
      </w:r>
    </w:p>
    <w:p w14:paraId="4B5CB748">
      <w:pPr>
        <w:pStyle w:val="14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5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Несовершеннолетние дети, постоянно проживающие на территории </w:t>
      </w:r>
      <w:r>
        <w:rPr>
          <w:rStyle w:val="15"/>
          <w:i/>
          <w:color w:val="000000" w:themeColor="text1"/>
          <w:sz w:val="30"/>
          <w:szCs w:val="30"/>
          <w:lang w:val="be-BY"/>
          <w14:textFill>
            <w14:solidFill>
              <w14:schemeClr w14:val="tx1"/>
            </w14:solidFill>
          </w14:textFill>
        </w:rPr>
        <w:t>населенных пунктов включенных в перечень</w:t>
      </w:r>
      <w:r>
        <w:rPr>
          <w:rStyle w:val="15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, имеют право на:</w:t>
      </w:r>
    </w:p>
    <w:p w14:paraId="493F7E92">
      <w:pPr>
        <w:pStyle w:val="14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5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бесплатное санаторно-курортное лечение (при наличии медицинских показаний и отсутствии медицинских противопоказаний) или оздоровление (при отсутствии медицинских противопоказаний) сроком до одного месяца;</w:t>
      </w:r>
    </w:p>
    <w:p w14:paraId="15C44DBA">
      <w:pPr>
        <w:pStyle w:val="14"/>
        <w:spacing w:before="0" w:beforeAutospacing="0" w:after="0" w:afterAutospacing="0" w:line="280" w:lineRule="exact"/>
        <w:ind w:firstLine="567"/>
        <w:jc w:val="both"/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обеспечение бесплатным питанием на период получения общего среднего или специального образования.</w:t>
      </w:r>
    </w:p>
    <w:p w14:paraId="72379FE5">
      <w:pPr>
        <w:pStyle w:val="14"/>
        <w:spacing w:before="0" w:beforeAutospacing="0" w:after="0" w:afterAutospacing="0" w:line="280" w:lineRule="exact"/>
        <w:ind w:firstLine="567"/>
        <w:jc w:val="both"/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Кроме того, плата родителей за питание детей в учреждениях дошкольного образования снижена на 50 процентов</w:t>
      </w:r>
      <w:r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6"/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для семей, проживающих на территории радиоактивного загрязнения в зоне проживания с периодическим радиационным контролем. </w:t>
      </w:r>
    </w:p>
    <w:p w14:paraId="67BFEE98">
      <w:pPr>
        <w:ind w:firstLine="567"/>
        <w:jc w:val="both"/>
        <w:rPr>
          <w:rFonts w:cs="Times New Roman"/>
          <w:color w:val="21201F"/>
          <w:shd w:val="clear" w:color="auto" w:fill="FFFFFF"/>
        </w:rPr>
      </w:pPr>
      <w:r>
        <w:rPr>
          <w:rFonts w:cs="Times New Roman"/>
          <w:color w:val="21201F"/>
          <w:shd w:val="clear" w:color="auto" w:fill="FFFFFF"/>
        </w:rPr>
        <w:t>Вступление в силу постановления предусматривается с 1 января 2027 года, а льготы на бесплатное питание сохраняются до июня 2027 года для несовершеннолетних детей, проживающих и (или) обучающихся в учреждениях образования на территориях, выводимых из категории загрязненных.</w:t>
      </w:r>
    </w:p>
    <w:p w14:paraId="16CFE22E">
      <w:pPr>
        <w:ind w:firstLine="567"/>
        <w:jc w:val="both"/>
      </w:pPr>
      <w:r>
        <w:t xml:space="preserve">Следует отметить, что вне зависимости от места проживания в Республике Беларусь все несовершеннолетние дети имеют право на бесплатное санаторно-курортное лечение при наличии медицинских показаний. Также во всех населенных пунктах страны право на бесплатное питание в учреждениях образования имеют: обучающиеся из многодетных семей (имеющих трех и более детей на иждивении и воспитании), малообеспеченных семей (семей, среднедушевой доход которых по объективным причинам ниже наибольшей величины бюджета прожиточного минимума в среднем на душу населения, утвержденного Министерством труда и социальной защиты, за два последних квартала), дети-инвалиды, сироты. </w:t>
      </w:r>
    </w:p>
    <w:p w14:paraId="642A450B">
      <w:pPr>
        <w:ind w:firstLine="567"/>
        <w:jc w:val="both"/>
        <w:rPr>
          <w:rFonts w:cs="Times New Roman"/>
        </w:rPr>
      </w:pPr>
      <w:r>
        <w:rPr>
          <w:color w:val="000000" w:themeColor="text1"/>
          <w:szCs w:val="30"/>
          <w14:textFill>
            <w14:solidFill>
              <w14:schemeClr w14:val="tx1"/>
            </w14:solidFill>
          </w14:textFill>
        </w:rPr>
        <w:t>Решение вопросов социально-экономического развития пострадавших регионов носит многоотраслевой и многозадачный характер. Капитальные вложения направляются как на развитие экономического потенциала регионов, так и на модернизацию социальной сферы, снижение дозовых нагрузок на проживающее население на этих территориях, улучшение инфраструктуры и условий жизнедеятельности.</w:t>
      </w:r>
    </w:p>
    <w:p w14:paraId="7DFAA6F6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С 2021 года в Гомельской области:</w:t>
      </w:r>
    </w:p>
    <w:p w14:paraId="40321164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построено 358 квартир для специалистов и инвалидов-чернобыльцев;</w:t>
      </w:r>
    </w:p>
    <w:p w14:paraId="30CB08F1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газифицировано 3 населенных пункта;</w:t>
      </w:r>
    </w:p>
    <w:p w14:paraId="3BE7414C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с учетом ввода в эксплуатацию Белорусской АЭС реализован пилотный проект в Республике Беларусь - электрифицирован для нужд отопления, горячего водоснабжения и пищеприготовления агрогородок                           Великий Бор в Хойникском районе. В 2025 году электрифицировано еще    3 агрогородка;</w:t>
      </w:r>
    </w:p>
    <w:p w14:paraId="38016928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реконструировано более 52 км водопроводных сетей, построено и модернизировано 9 станций обезжелезивания, 5 артезианских скважин;</w:t>
      </w:r>
    </w:p>
    <w:p w14:paraId="700577CE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построены, реконструированы и модернизированы                                       6 молочнотоварных ферм, 1 свиноводческий комплекс, 6 зерносушильных комплексов;</w:t>
      </w:r>
    </w:p>
    <w:p w14:paraId="3750BD89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создан цех по переработке автомобильных шин и производству полимерно-резиновых изделий в Чечерском районе;</w:t>
      </w:r>
    </w:p>
    <w:p w14:paraId="52AFE1A6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построены и реконструированы 20 объектов социальной сферы (</w:t>
      </w:r>
      <w:r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в том числе реконструированы и модернизированы помещения в Брагинской, Мозырской, Речицкой, Хойникской, Чечерской центральных районных больницах, Гомельском областном госпитале ИОВ, Гомельской областной больнице и Гомельском областном кардиологическом центре под установку современного медицинского оборудования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). </w:t>
      </w:r>
    </w:p>
    <w:p w14:paraId="24F496D8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построено и реконструировано 10 объектов в детских реабилитационно-оздоровительных центрах, в том числе реконструирован с увеличением мощности детский реабилитационно-оздоровительный центр «Кристальный» в г. Гомеле;</w:t>
      </w:r>
    </w:p>
    <w:p w14:paraId="10140B3F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обновлен машинно-тракторный парк сельскохозяйственных организаций на 1030 единиц, работающих на землях, загрязненных радионуклидами;</w:t>
      </w:r>
    </w:p>
    <w:p w14:paraId="5722FEB6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- улучшено медицинское обслуживание путем приобретения                        20 единиц медицинского транспорта и 267 единиц медицинского оборудования; </w:t>
      </w:r>
    </w:p>
    <w:p w14:paraId="4F4552B7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 обновлен парк автобусов для подвоза учащихся на 12 единиц в наиболее пострадавших районах области.</w:t>
      </w:r>
    </w:p>
    <w:p w14:paraId="60BB702C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ченые десятилетиями занимаются исследованиями загрязненных территорий. Оттого и неудивительно, что другие страны не раз обращались к белорусскому опыту преодоления последствий техногенных катастроф. Например, наши специалисты помогали японцам после аварии на АЭС Фукусима-1, делились с ними наработками и технологиями. </w:t>
      </w:r>
    </w:p>
    <w:p w14:paraId="4DF6F0E0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 xml:space="preserve">Беларусь на собственном примере доказала всему миру: снизить разрушительное влияние последствий техногенной катастрофы реально.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</w:t>
      </w:r>
    </w:p>
    <w:p w14:paraId="48D02C5A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Неслучайно в одном из своих выступлений Глава государства подчеркнул: «Реабилитация пораженных Чернобылем территорий</w:t>
      </w:r>
      <w:r>
        <w:rPr>
          <w:rFonts w:hint="default" w:ascii="Times New Roman" w:hAnsi="Times New Roman" w:eastAsia="Calibri" w:cs="Times New Roman"/>
          <w:sz w:val="30"/>
          <w:szCs w:val="30"/>
          <w:lang w:val="ru" w:eastAsia="en-US" w:bidi="ar"/>
        </w:rPr>
        <w:t xml:space="preserve"> – </w:t>
      </w:r>
      <w:bookmarkStart w:id="0" w:name="_GoBack"/>
      <w:bookmarkEnd w:id="0"/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одно из самых важных наших достижений. Это наш трагический опыт, которым пользуется вся планета. Оно позволило нам больше поверить в себя и еще раз убедиться: когда мы вместе, то способны справиться с любыми невзгодами и напастями».</w:t>
      </w:r>
    </w:p>
    <w:p w14:paraId="1BC9993B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B70F428">
      <w:pPr>
        <w:pStyle w:val="30"/>
        <w:ind w:firstLine="567"/>
        <w:jc w:val="both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2D3FF14">
      <w:pPr>
        <w:pStyle w:val="30"/>
        <w:ind w:firstLine="567"/>
        <w:jc w:val="both"/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i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Материал подготовлен на основании информации, предоставленной главным управлением по проблемам ликвидации последствий катастрофы на Чернобыльской АЭС Гомельского облисполкома, главным управлением по здравоохранению Гомельского облисполкома.</w:t>
      </w:r>
    </w:p>
    <w:sectPr>
      <w:headerReference r:id="rId3" w:type="default"/>
      <w:pgSz w:w="11906" w:h="16838"/>
      <w:pgMar w:top="1134" w:right="567" w:bottom="1134" w:left="1701" w:header="709" w:footer="709" w:gutter="0"/>
      <w:cols w:space="708" w:num="1"/>
      <w:titlePg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80371"/>
      <w:docPartObj>
        <w:docPartGallery w:val="autotext"/>
      </w:docPartObj>
    </w:sdtPr>
    <w:sdtContent>
      <w:p w14:paraId="6AC57E44">
        <w:pPr>
          <w:pStyle w:val="11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920B2C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38"/>
    <w:rsid w:val="0005195C"/>
    <w:rsid w:val="00061151"/>
    <w:rsid w:val="00084347"/>
    <w:rsid w:val="000A3B23"/>
    <w:rsid w:val="000A5F01"/>
    <w:rsid w:val="000B2C89"/>
    <w:rsid w:val="000B6456"/>
    <w:rsid w:val="000F6E7C"/>
    <w:rsid w:val="00111D31"/>
    <w:rsid w:val="00167290"/>
    <w:rsid w:val="001A2088"/>
    <w:rsid w:val="001A7E0A"/>
    <w:rsid w:val="001E6C0B"/>
    <w:rsid w:val="001F3340"/>
    <w:rsid w:val="002102DD"/>
    <w:rsid w:val="00227030"/>
    <w:rsid w:val="00240C2A"/>
    <w:rsid w:val="00262DF6"/>
    <w:rsid w:val="002745DA"/>
    <w:rsid w:val="00286136"/>
    <w:rsid w:val="00292C7B"/>
    <w:rsid w:val="002967EA"/>
    <w:rsid w:val="002A0DB2"/>
    <w:rsid w:val="002C41DC"/>
    <w:rsid w:val="002E31AB"/>
    <w:rsid w:val="002F0686"/>
    <w:rsid w:val="002F076E"/>
    <w:rsid w:val="00313963"/>
    <w:rsid w:val="0032113C"/>
    <w:rsid w:val="00342D64"/>
    <w:rsid w:val="00392385"/>
    <w:rsid w:val="003B7478"/>
    <w:rsid w:val="003D2BCD"/>
    <w:rsid w:val="003E0073"/>
    <w:rsid w:val="003E5533"/>
    <w:rsid w:val="00410F22"/>
    <w:rsid w:val="00421875"/>
    <w:rsid w:val="004325B1"/>
    <w:rsid w:val="00442194"/>
    <w:rsid w:val="004445C7"/>
    <w:rsid w:val="004A1119"/>
    <w:rsid w:val="004F056C"/>
    <w:rsid w:val="00526FF4"/>
    <w:rsid w:val="00545416"/>
    <w:rsid w:val="00556282"/>
    <w:rsid w:val="00567AF6"/>
    <w:rsid w:val="00577470"/>
    <w:rsid w:val="00590FA4"/>
    <w:rsid w:val="005933F1"/>
    <w:rsid w:val="005B55DF"/>
    <w:rsid w:val="005E2A36"/>
    <w:rsid w:val="00627A91"/>
    <w:rsid w:val="0065386E"/>
    <w:rsid w:val="00680CEB"/>
    <w:rsid w:val="00697092"/>
    <w:rsid w:val="00697D77"/>
    <w:rsid w:val="006A1ADE"/>
    <w:rsid w:val="006A7865"/>
    <w:rsid w:val="006F26D3"/>
    <w:rsid w:val="00706ECF"/>
    <w:rsid w:val="00710274"/>
    <w:rsid w:val="007219BE"/>
    <w:rsid w:val="00723B5B"/>
    <w:rsid w:val="00740917"/>
    <w:rsid w:val="00762163"/>
    <w:rsid w:val="00763DB7"/>
    <w:rsid w:val="007A7F6D"/>
    <w:rsid w:val="007B027B"/>
    <w:rsid w:val="007C2287"/>
    <w:rsid w:val="007D4177"/>
    <w:rsid w:val="00860238"/>
    <w:rsid w:val="00860630"/>
    <w:rsid w:val="008948B6"/>
    <w:rsid w:val="00894CE1"/>
    <w:rsid w:val="008A6E65"/>
    <w:rsid w:val="008C4110"/>
    <w:rsid w:val="008C7396"/>
    <w:rsid w:val="008D684A"/>
    <w:rsid w:val="0090613A"/>
    <w:rsid w:val="00915A93"/>
    <w:rsid w:val="0092464F"/>
    <w:rsid w:val="00935262"/>
    <w:rsid w:val="009434D2"/>
    <w:rsid w:val="009455AA"/>
    <w:rsid w:val="00965B6D"/>
    <w:rsid w:val="0099457B"/>
    <w:rsid w:val="009A092C"/>
    <w:rsid w:val="009F29A1"/>
    <w:rsid w:val="00A3274F"/>
    <w:rsid w:val="00A80987"/>
    <w:rsid w:val="00A902D1"/>
    <w:rsid w:val="00A97664"/>
    <w:rsid w:val="00AE3D4E"/>
    <w:rsid w:val="00AF3CA1"/>
    <w:rsid w:val="00B244EE"/>
    <w:rsid w:val="00B251C0"/>
    <w:rsid w:val="00B32269"/>
    <w:rsid w:val="00B457BE"/>
    <w:rsid w:val="00B571DE"/>
    <w:rsid w:val="00B813C9"/>
    <w:rsid w:val="00B85495"/>
    <w:rsid w:val="00B87E1E"/>
    <w:rsid w:val="00B92D12"/>
    <w:rsid w:val="00B968ED"/>
    <w:rsid w:val="00BA4DDF"/>
    <w:rsid w:val="00BB5E27"/>
    <w:rsid w:val="00BB7140"/>
    <w:rsid w:val="00BC50D6"/>
    <w:rsid w:val="00BE2F60"/>
    <w:rsid w:val="00BE7F8D"/>
    <w:rsid w:val="00C10FF2"/>
    <w:rsid w:val="00C15E41"/>
    <w:rsid w:val="00C21353"/>
    <w:rsid w:val="00C65C4F"/>
    <w:rsid w:val="00C7474F"/>
    <w:rsid w:val="00CB0402"/>
    <w:rsid w:val="00CB071E"/>
    <w:rsid w:val="00CC6773"/>
    <w:rsid w:val="00CD2554"/>
    <w:rsid w:val="00CD61DF"/>
    <w:rsid w:val="00CF7398"/>
    <w:rsid w:val="00CF7399"/>
    <w:rsid w:val="00D1791D"/>
    <w:rsid w:val="00D269EF"/>
    <w:rsid w:val="00D31535"/>
    <w:rsid w:val="00D360BE"/>
    <w:rsid w:val="00D465B4"/>
    <w:rsid w:val="00D55B0E"/>
    <w:rsid w:val="00D57F8B"/>
    <w:rsid w:val="00D90C04"/>
    <w:rsid w:val="00D92FDF"/>
    <w:rsid w:val="00E02EC3"/>
    <w:rsid w:val="00E1655E"/>
    <w:rsid w:val="00E368FE"/>
    <w:rsid w:val="00E647AE"/>
    <w:rsid w:val="00E70CFF"/>
    <w:rsid w:val="00E733A3"/>
    <w:rsid w:val="00EA4485"/>
    <w:rsid w:val="00EA69C4"/>
    <w:rsid w:val="00EC0D17"/>
    <w:rsid w:val="00ED00DB"/>
    <w:rsid w:val="00ED34C2"/>
    <w:rsid w:val="00ED784D"/>
    <w:rsid w:val="00F16994"/>
    <w:rsid w:val="00F27125"/>
    <w:rsid w:val="00F43004"/>
    <w:rsid w:val="00F5751F"/>
    <w:rsid w:val="00F745E4"/>
    <w:rsid w:val="00F832D8"/>
    <w:rsid w:val="00F86971"/>
    <w:rsid w:val="00F8729E"/>
    <w:rsid w:val="00FA44BC"/>
    <w:rsid w:val="00FB0A61"/>
    <w:rsid w:val="00FC61E9"/>
    <w:rsid w:val="00FD46A2"/>
    <w:rsid w:val="0ABB0B9E"/>
    <w:rsid w:val="48D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jc w:val="center"/>
    </w:pPr>
    <w:rPr>
      <w:rFonts w:ascii="Times New Roman" w:hAnsi="Times New Roman" w:eastAsiaTheme="minorHAnsi" w:cstheme="minorBidi"/>
      <w:sz w:val="30"/>
      <w:szCs w:val="22"/>
      <w:lang w:val="ru-RU" w:eastAsia="en-US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link w:val="26"/>
    <w:qFormat/>
    <w:uiPriority w:val="9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link w:val="27"/>
    <w:qFormat/>
    <w:uiPriority w:val="9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p-normal"/>
    <w:basedOn w:val="1"/>
    <w:qFormat/>
    <w:uiPriority w:val="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5">
    <w:name w:val="h-normal"/>
    <w:basedOn w:val="5"/>
    <w:qFormat/>
    <w:uiPriority w:val="0"/>
  </w:style>
  <w:style w:type="character" w:customStyle="1" w:styleId="16">
    <w:name w:val="word-wrapper"/>
    <w:basedOn w:val="5"/>
    <w:qFormat/>
    <w:uiPriority w:val="0"/>
  </w:style>
  <w:style w:type="character" w:customStyle="1" w:styleId="17">
    <w:name w:val="fake-non-breaking-space"/>
    <w:basedOn w:val="5"/>
    <w:qFormat/>
    <w:uiPriority w:val="0"/>
  </w:style>
  <w:style w:type="character" w:customStyle="1" w:styleId="18">
    <w:name w:val="color__ff00ff"/>
    <w:basedOn w:val="5"/>
    <w:qFormat/>
    <w:uiPriority w:val="0"/>
  </w:style>
  <w:style w:type="character" w:customStyle="1" w:styleId="19">
    <w:name w:val="color__0000ff"/>
    <w:basedOn w:val="5"/>
    <w:uiPriority w:val="0"/>
  </w:style>
  <w:style w:type="character" w:customStyle="1" w:styleId="20">
    <w:name w:val="Текст выноски Знак"/>
    <w:basedOn w:val="5"/>
    <w:link w:val="10"/>
    <w:semiHidden/>
    <w:uiPriority w:val="99"/>
    <w:rPr>
      <w:rFonts w:ascii="Segoe UI" w:hAnsi="Segoe UI" w:cs="Segoe UI"/>
      <w:sz w:val="18"/>
      <w:szCs w:val="18"/>
    </w:rPr>
  </w:style>
  <w:style w:type="paragraph" w:customStyle="1" w:styleId="21">
    <w:name w:val="bvi-speech"/>
    <w:basedOn w:val="1"/>
    <w:uiPriority w:val="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Верхний колонтитул Знак"/>
    <w:basedOn w:val="5"/>
    <w:link w:val="11"/>
    <w:uiPriority w:val="99"/>
  </w:style>
  <w:style w:type="character" w:customStyle="1" w:styleId="23">
    <w:name w:val="Нижний колонтитул Знак"/>
    <w:basedOn w:val="5"/>
    <w:link w:val="12"/>
    <w:uiPriority w:val="99"/>
  </w:style>
  <w:style w:type="character" w:customStyle="1" w:styleId="24">
    <w:name w:val="t286pc"/>
    <w:basedOn w:val="5"/>
    <w:uiPriority w:val="0"/>
  </w:style>
  <w:style w:type="character" w:customStyle="1" w:styleId="25">
    <w:name w:val="vkekvd"/>
    <w:basedOn w:val="5"/>
    <w:uiPriority w:val="0"/>
  </w:style>
  <w:style w:type="character" w:customStyle="1" w:styleId="26">
    <w:name w:val="Заголовок 2 Знак"/>
    <w:basedOn w:val="5"/>
    <w:link w:val="3"/>
    <w:uiPriority w:val="9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27">
    <w:name w:val="Заголовок 3 Знак"/>
    <w:basedOn w:val="5"/>
    <w:link w:val="4"/>
    <w:uiPriority w:val="9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28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9">
    <w:name w:val="Основной текст_"/>
    <w:basedOn w:val="5"/>
    <w:link w:val="30"/>
    <w:uiPriority w:val="0"/>
    <w:rPr>
      <w:rFonts w:eastAsia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1"/>
    <w:basedOn w:val="1"/>
    <w:link w:val="29"/>
    <w:uiPriority w:val="0"/>
    <w:pPr>
      <w:widowControl w:val="0"/>
      <w:shd w:val="clear" w:color="auto" w:fill="FFFFFF"/>
      <w:ind w:firstLine="400"/>
      <w:jc w:val="left"/>
    </w:pPr>
    <w:rPr>
      <w:rFonts w:eastAsia="Times New Roman" w:cs="Times New Roman"/>
      <w:sz w:val="32"/>
      <w:szCs w:val="32"/>
    </w:rPr>
  </w:style>
  <w:style w:type="character" w:customStyle="1" w:styleId="31">
    <w:name w:val="mce-nbsp-wrap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1260</Words>
  <Characters>8986</Characters>
  <Lines>73</Lines>
  <Paragraphs>20</Paragraphs>
  <TotalTime>379</TotalTime>
  <ScaleCrop>false</ScaleCrop>
  <LinksUpToDate>false</LinksUpToDate>
  <CharactersWithSpaces>10309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2026-02-02T11:57:00Z</dcterms:created>
  <dc:creator>Степанькова М.А.</dc:creator>
  <cp:lastModifiedBy>Specialist134b</cp:lastModifiedBy>
  <cp:lastPrinted>2026-08-07T13:14:00Z</cp:lastPrinted>
  <dcterms:modified xsi:type="dcterms:W3CDTF">2026-08-14T15:13:55Z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eyJoZGlkIjoiMTdkNjZkODNhNDJjNDExYzc2YThhNzBhMTY2NGMzYzYifQ==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A32B7D9F37604F1AA9D45D0F73F7C2C1_12</vt:lpwstr>
  </property>
</Properties>
</file>